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4B23966B"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6249C0" w:rsidRPr="006249C0">
        <w:rPr>
          <w:rFonts w:ascii="Times New Roman" w:hAnsi="Times New Roman" w:cs="Times New Roman"/>
          <w:sz w:val="28"/>
          <w:szCs w:val="28"/>
        </w:rPr>
        <w:t>50:12:0030405:189, 50:12:0000000:53744, 50:12:0030412:76, 50:12:0000000:58440</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w:t>
      </w:r>
      <w:r w:rsidR="006249C0">
        <w:rPr>
          <w:rFonts w:ascii="Times New Roman" w:hAnsi="Times New Roman" w:cs="Times New Roman"/>
          <w:sz w:val="28"/>
          <w:szCs w:val="28"/>
        </w:rPr>
        <w:t xml:space="preserve">                       </w:t>
      </w:r>
      <w:r w:rsidRPr="000747CC">
        <w:rPr>
          <w:rFonts w:ascii="Times New Roman" w:hAnsi="Times New Roman" w:cs="Times New Roman"/>
          <w:sz w:val="28"/>
          <w:szCs w:val="28"/>
        </w:rPr>
        <w:t>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006249C0">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6249C0">
        <w:rPr>
          <w:rFonts w:ascii="Times New Roman" w:hAnsi="Times New Roman" w:cs="Times New Roman"/>
          <w:sz w:val="28"/>
          <w:szCs w:val="28"/>
        </w:rPr>
        <w:t xml:space="preserve">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3D701" w14:textId="77777777" w:rsidR="002877E2" w:rsidRDefault="002877E2" w:rsidP="0008755C">
      <w:pPr>
        <w:spacing w:after="0" w:line="240" w:lineRule="auto"/>
      </w:pPr>
      <w:r>
        <w:separator/>
      </w:r>
    </w:p>
  </w:endnote>
  <w:endnote w:type="continuationSeparator" w:id="0">
    <w:p w14:paraId="2E773481" w14:textId="77777777" w:rsidR="002877E2" w:rsidRDefault="002877E2"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09202121"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604EE7">
      <w:rPr>
        <w:rFonts w:ascii="Times New Roman" w:hAnsi="Times New Roman" w:cs="Times New Roman"/>
        <w:sz w:val="16"/>
        <w:szCs w:val="16"/>
      </w:rPr>
      <w:t>14108</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E6236" w14:textId="77777777" w:rsidR="002877E2" w:rsidRDefault="002877E2" w:rsidP="0008755C">
      <w:pPr>
        <w:spacing w:after="0" w:line="240" w:lineRule="auto"/>
      </w:pPr>
      <w:r>
        <w:separator/>
      </w:r>
    </w:p>
  </w:footnote>
  <w:footnote w:type="continuationSeparator" w:id="0">
    <w:p w14:paraId="02DACEE9" w14:textId="77777777" w:rsidR="002877E2" w:rsidRDefault="002877E2"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877E2"/>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4681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04EE7"/>
    <w:rsid w:val="00615979"/>
    <w:rsid w:val="006249C0"/>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5922"/>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806E-0205-4C71-BEB7-EF74CF22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31</cp:revision>
  <cp:lastPrinted>2023-03-15T07:53:00Z</cp:lastPrinted>
  <dcterms:created xsi:type="dcterms:W3CDTF">2023-03-15T07:53:00Z</dcterms:created>
  <dcterms:modified xsi:type="dcterms:W3CDTF">2023-06-29T14:19:00Z</dcterms:modified>
</cp:coreProperties>
</file>